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D216B6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520" w:lineRule="exact"/>
        <w:textAlignment w:val="auto"/>
        <w:rPr>
          <w:rFonts w:hint="default" w:ascii="Times New Roman" w:hAnsi="Times New Roman" w:cs="Times New Roman"/>
        </w:rPr>
      </w:pPr>
    </w:p>
    <w:p w14:paraId="5B069E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520" w:lineRule="exact"/>
        <w:jc w:val="right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</w:p>
    <w:p w14:paraId="736D5B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520" w:lineRule="exact"/>
        <w:jc w:val="righ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喀地环评字〔202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〕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343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号</w:t>
      </w:r>
    </w:p>
    <w:p w14:paraId="31B40B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520" w:lineRule="exact"/>
        <w:textAlignment w:val="auto"/>
        <w:rPr>
          <w:rFonts w:hint="default" w:ascii="Times New Roman" w:hAnsi="Times New Roman" w:eastAsia="仿宋" w:cs="Times New Roman"/>
          <w:bCs/>
          <w:sz w:val="32"/>
          <w:szCs w:val="32"/>
        </w:rPr>
      </w:pPr>
    </w:p>
    <w:p w14:paraId="5239FE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关于《常州尚威喀什地区麦盖提县20万千瓦</w:t>
      </w:r>
    </w:p>
    <w:p w14:paraId="726ECA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/80万千瓦时综合储能电站示范项目环境</w:t>
      </w:r>
    </w:p>
    <w:p w14:paraId="3DFC58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影响报告表》的批复</w:t>
      </w:r>
    </w:p>
    <w:p w14:paraId="2676C6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b/>
          <w:color w:val="auto"/>
          <w:sz w:val="32"/>
          <w:szCs w:val="32"/>
        </w:rPr>
      </w:pPr>
    </w:p>
    <w:p w14:paraId="3E165F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jc w:val="both"/>
        <w:textAlignment w:val="auto"/>
        <w:rPr>
          <w:rFonts w:hint="default" w:ascii="Times New Roman" w:hAnsi="Times New Roman" w:eastAsia="方正仿宋_GBK" w:cs="Times New Roman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常州尚威环境服务有限公司</w:t>
      </w:r>
      <w:r>
        <w:rPr>
          <w:rFonts w:hint="default" w:ascii="Times New Roman" w:hAnsi="Times New Roman" w:eastAsia="方正仿宋_GBK" w:cs="Times New Roman"/>
          <w:color w:val="000000"/>
          <w:kern w:val="2"/>
          <w:sz w:val="32"/>
          <w:szCs w:val="32"/>
          <w:lang w:val="zh-CN" w:eastAsia="zh-CN" w:bidi="ar-SA"/>
        </w:rPr>
        <w:t>：</w:t>
      </w:r>
    </w:p>
    <w:p w14:paraId="6442B4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你单位报来的《常州尚威喀什地区麦盖提县20万千瓦</w:t>
      </w:r>
      <w:r>
        <w:rPr>
          <w:rFonts w:hint="eastAsia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/</w:t>
      </w:r>
      <w:r>
        <w:rPr>
          <w:rFonts w:hint="default" w:ascii="Times New Roman" w:hAnsi="Times New Roman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80万千瓦时综合储能电站示范项目环境影响报告表》及相关附件已收悉。经研究，批复如下：</w:t>
      </w:r>
    </w:p>
    <w:p w14:paraId="21D4C90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方正黑体_GBK" w:cs="Times New Roman"/>
          <w:b w:val="0"/>
          <w:bCs w:val="0"/>
          <w:color w:val="auto"/>
          <w:sz w:val="32"/>
          <w:szCs w:val="32"/>
          <w:lang w:eastAsia="zh-CN"/>
        </w:rPr>
        <w:t xml:space="preserve">一、项目基本情况 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eastAsia="zh-CN"/>
        </w:rPr>
        <w:t xml:space="preserve"> </w:t>
      </w:r>
    </w:p>
    <w:p w14:paraId="36464585">
      <w:pPr>
        <w:pStyle w:val="3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520" w:lineRule="exact"/>
        <w:ind w:firstLine="480"/>
        <w:textAlignment w:val="auto"/>
        <w:rPr>
          <w:rFonts w:hint="default" w:ascii="Times New Roman" w:hAnsi="Times New Roman" w:eastAsia="方正仿宋_GBK" w:cs="Times New Roman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本项目性质为</w:t>
      </w:r>
      <w:r>
        <w:rPr>
          <w:rFonts w:hint="default" w:ascii="Times New Roman" w:hAnsi="Times New Roman" w:eastAsia="方正仿宋_GBK" w:cs="Times New Roman"/>
          <w:color w:val="000000"/>
          <w:kern w:val="2"/>
          <w:sz w:val="32"/>
          <w:szCs w:val="32"/>
          <w:lang w:val="zh-CN" w:eastAsia="zh-CN" w:bidi="ar-SA"/>
        </w:rPr>
        <w:t>新建</w:t>
      </w:r>
      <w:r>
        <w:rPr>
          <w:rFonts w:hint="default" w:ascii="Times New Roman" w:hAnsi="Times New Roman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，位于</w:t>
      </w:r>
      <w:r>
        <w:rPr>
          <w:rFonts w:hint="eastAsia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喀什地区麦盖提县希依提敦乡。站</w:t>
      </w:r>
      <w:r>
        <w:rPr>
          <w:rFonts w:hint="default" w:ascii="Times New Roman" w:hAnsi="Times New Roman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址中心地理坐标：东经76°45′7.119″，北纬38°56′58.659″。主要建设内容：</w:t>
      </w:r>
      <w:r>
        <w:rPr>
          <w:rFonts w:hint="eastAsia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新建1座200MW/800MWh储能电站（共包含24个7.52MW/30.09MWh储能单元）及1座220kV升压汇集站（规划主变规模为1×240MVA），总用地面积5.5994公顷，其中：储能电站用地面积为3.8568公顷、220kV升压汇集站用地面积为1.7426公顷；汇集储能装机升压后通过1回220kV地下电缆线路接入麦盖提220kV变电站220kV侧实现并网，电缆长度0.2km。储能电站主要由储能电池、变流器（PCS）及35kV升压变组成。新建事故油池1座（70立方米）、一体化污水处理站1座（日处理5立方米、采用A/O生化工艺）、危废暂存间2间（18.63平方米/间）。项目不涉及自然保护区、饮用水源保护区等环境敏感区域</w:t>
      </w:r>
      <w:r>
        <w:rPr>
          <w:rFonts w:hint="default" w:ascii="Times New Roman" w:hAnsi="Times New Roman" w:eastAsia="方正仿宋_GBK" w:cs="Times New Roman"/>
          <w:color w:val="auto"/>
          <w:spacing w:val="-6"/>
          <w:sz w:val="32"/>
          <w:szCs w:val="32"/>
          <w:lang w:val="en-US" w:eastAsia="zh-CN"/>
        </w:rPr>
        <w:t>。</w:t>
      </w:r>
      <w:r>
        <w:rPr>
          <w:rFonts w:hint="default" w:ascii="Times New Roman" w:hAnsi="Times New Roman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项目总投资</w:t>
      </w:r>
      <w:r>
        <w:rPr>
          <w:rFonts w:hint="eastAsia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95000</w:t>
      </w:r>
      <w:r>
        <w:rPr>
          <w:rFonts w:hint="default" w:ascii="Times New Roman" w:hAnsi="Times New Roman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万元，环保投资</w:t>
      </w:r>
      <w:r>
        <w:rPr>
          <w:rFonts w:hint="eastAsia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211</w:t>
      </w:r>
      <w:r>
        <w:rPr>
          <w:rFonts w:hint="default" w:ascii="Times New Roman" w:hAnsi="Times New Roman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万元，占总投资</w:t>
      </w:r>
      <w:r>
        <w:rPr>
          <w:rFonts w:hint="eastAsia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0.22</w:t>
      </w:r>
      <w:r>
        <w:rPr>
          <w:rFonts w:hint="default" w:ascii="Times New Roman" w:hAnsi="Times New Roman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%。</w:t>
      </w:r>
    </w:p>
    <w:p w14:paraId="4E64177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rPr>
          <w:rFonts w:hint="default" w:ascii="Times New Roman" w:hAnsi="Times New Roman" w:eastAsia="方正黑体_GBK" w:cs="Times New Roman"/>
          <w:b w:val="0"/>
          <w:bCs w:val="0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方正黑体_GBK" w:cs="Times New Roman"/>
          <w:b w:val="0"/>
          <w:bCs w:val="0"/>
          <w:color w:val="auto"/>
          <w:sz w:val="32"/>
          <w:szCs w:val="32"/>
          <w:lang w:eastAsia="zh-CN"/>
        </w:rPr>
        <w:t>二、环保措施</w:t>
      </w:r>
      <w:r>
        <w:rPr>
          <w:rFonts w:hint="default" w:ascii="Times New Roman" w:hAnsi="Times New Roman" w:eastAsia="方正黑体_GBK" w:cs="Times New Roman"/>
          <w:b w:val="0"/>
          <w:bCs w:val="0"/>
          <w:color w:val="auto"/>
          <w:sz w:val="32"/>
          <w:szCs w:val="32"/>
          <w:lang w:eastAsia="zh-CN"/>
        </w:rPr>
        <w:tab/>
      </w:r>
    </w:p>
    <w:p w14:paraId="538287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由</w:t>
      </w:r>
      <w:r>
        <w:rPr>
          <w:rFonts w:hint="eastAsia" w:eastAsia="方正仿宋_GBK" w:cs="Times New Roman"/>
          <w:sz w:val="32"/>
          <w:szCs w:val="32"/>
          <w:highlight w:val="none"/>
          <w:lang w:val="en-US" w:eastAsia="zh-CN" w:bidi="ar"/>
        </w:rPr>
        <w:t>新疆博轩环境工程有限公司</w:t>
      </w:r>
      <w:r>
        <w:rPr>
          <w:rFonts w:hint="default" w:ascii="Times New Roman" w:hAnsi="Times New Roman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编制的《常州尚威喀什地区麦盖提县20万千瓦/80万千瓦时综合储能电站示范项目环境影响报告表》比较规范，环保法规使用正确，环境影响评价内容较全面，主要环境影响因子选择适当，环境影响分析与评价标准基本合理准确，重点做好以下工作：</w:t>
      </w:r>
    </w:p>
    <w:p w14:paraId="4F5937BC"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520" w:lineRule="exact"/>
        <w:ind w:firstLine="640" w:firstLineChars="200"/>
        <w:jc w:val="both"/>
        <w:textAlignment w:val="auto"/>
        <w:rPr>
          <w:rFonts w:hint="default" w:ascii="Times New Roman" w:hAnsi="Times New Roman" w:eastAsia="方正楷体_GBK" w:cs="Times New Roman"/>
          <w:color w:val="000000"/>
          <w:kern w:val="2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方正楷体_GBK" w:cs="Times New Roman"/>
          <w:color w:val="000000"/>
          <w:kern w:val="2"/>
          <w:sz w:val="32"/>
          <w:szCs w:val="32"/>
          <w:lang w:val="en-US" w:eastAsia="zh-CN" w:bidi="ar"/>
        </w:rPr>
        <w:t>（一）施工期</w:t>
      </w:r>
    </w:p>
    <w:p w14:paraId="705C7C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严格控制临时用地范围，严禁随意进入临时施工区域以外的区域活动，避免对野生动物进行杀害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；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施工前应办理相关占用手续，根据相关法律法规进行补偿；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加强对施工人员的教育和管理，在施工中对施工人员进行教育和监督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；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严禁在林区毁林采石、采砂、采土以及其他毁林行为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；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对表土进行保护，表土与基坑回填土应分开堆放；剥离的表土、基础开挖的土方临时堆放在用地范围内，采用防尘网临时覆盖；施工过程中应选用低噪音施工设备，避免大声喧嚣，严格控制施工活动范围，减少施工噪声和施工活动对野生动物的干扰，以免惊扰动物，影响其生存。在施工过程中，如发现有重点保护野生植物，要及时报告当地林业部门并采取保护措施。施工结束后进行迹地恢复，进行植被恢复时应选择栽种当地常见植物，不得随意栽种外来物种</w:t>
      </w:r>
      <w:r>
        <w:rPr>
          <w:rFonts w:hint="eastAsia" w:eastAsia="方正仿宋_GBK" w:cs="Times New Roman"/>
          <w:color w:val="auto"/>
          <w:sz w:val="32"/>
          <w:szCs w:val="32"/>
          <w:highlight w:val="none"/>
          <w:lang w:val="en-US" w:eastAsia="zh-CN"/>
        </w:rPr>
        <w:t>。</w:t>
      </w:r>
    </w:p>
    <w:p w14:paraId="387C1A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rPr>
          <w:rFonts w:hint="default" w:ascii="Times New Roman" w:hAnsi="Times New Roman" w:eastAsia="方正楷体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楷体_GBK" w:cs="Times New Roman"/>
          <w:sz w:val="32"/>
          <w:szCs w:val="32"/>
          <w:lang w:eastAsia="zh-CN"/>
        </w:rPr>
        <w:t>（二）运营期</w:t>
      </w:r>
    </w:p>
    <w:p w14:paraId="4B8941C9">
      <w:pPr>
        <w:pStyle w:val="3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outlineLvl w:val="1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.制定安全操作规程，加强职工安全教育，加强电磁水平监测；进行电磁辐射基础知识培训，在巡检带电维修过程中，尽可能减少暴露在电磁场中的时间；设立电磁防护安全警示标志，禁止无关人员靠近带电架构。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项目区域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工频电场强度、工频磁感应强度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符合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《电磁环境控制限值》（GB8702-2014）中的公众曝露控制限值（工频电场强度4kV/m，工频磁感应强度100μT）要求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。</w:t>
      </w:r>
    </w:p>
    <w:p w14:paraId="16215BDA">
      <w:pPr>
        <w:pStyle w:val="3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outlineLvl w:val="1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2.</w:t>
      </w:r>
      <w:r>
        <w:rPr>
          <w:rFonts w:hint="eastAsia" w:eastAsia="方正仿宋_GBK" w:cs="Times New Roman"/>
          <w:color w:val="auto"/>
          <w:sz w:val="32"/>
          <w:szCs w:val="32"/>
          <w:highlight w:val="none"/>
          <w:lang w:val="en-US" w:eastAsia="zh-CN"/>
        </w:rPr>
        <w:t>生活污水经一体化污水处理设施处理后，达到《农村生活污水处理排放标准》（DB654275—2019）表2中的C级标准后用于项目区绿化。</w:t>
      </w:r>
    </w:p>
    <w:p w14:paraId="56B55863">
      <w:pPr>
        <w:pStyle w:val="3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outlineLvl w:val="1"/>
        <w:rPr>
          <w:rFonts w:hint="eastAsia" w:ascii="Times New Roman" w:hAnsi="Times New Roman" w:eastAsia="方正仿宋_GBK" w:cs="Times New Roman"/>
          <w:sz w:val="32"/>
          <w:szCs w:val="32"/>
          <w:highlight w:val="none"/>
          <w:lang w:eastAsia="zh-CN"/>
        </w:rPr>
      </w:pPr>
      <w:r>
        <w:rPr>
          <w:rFonts w:hint="eastAsia" w:eastAsia="方正仿宋_GBK" w:cs="Times New Roman"/>
          <w:color w:val="auto"/>
          <w:sz w:val="32"/>
          <w:szCs w:val="32"/>
          <w:highlight w:val="none"/>
          <w:lang w:val="en-US" w:eastAsia="zh-CN"/>
        </w:rPr>
        <w:t>3.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采用噪声较低的生产设备，并加强维护保养，避免深夜运输，禁止夜间高噪声施工等，确保变电站厂界噪声符合《工业企业厂界环境噪声排放标准》（GB12348-2008）表中的2类标准。3.生活垃圾集中收集后，由环卫部门定期清运；废弃储能电池（磷酸铁锂电池）收集暂存于危废暂存间，定期委托有资质的单位进行处置。事故废油暂存于事故油池，定期委托有资质的单位处置。危险废物的收集、贮存、运输须符合《危险废物贮存污染控制标准》（GB18597-2023）、《危险废物收集贮存运输技术规范》（HJ2025-2012）和《危险废物转移管理办法》（部令第23号）等要求。一般固废按照《一般工业固体废物贮存和填埋污染控制标准》（GB18599-2020）要求处置</w:t>
      </w:r>
      <w:r>
        <w:rPr>
          <w:rFonts w:hint="eastAsia" w:eastAsia="方正仿宋_GBK" w:cs="Times New Roman"/>
          <w:sz w:val="32"/>
          <w:szCs w:val="32"/>
          <w:highlight w:val="none"/>
          <w:lang w:eastAsia="zh-CN" w:bidi="ar"/>
        </w:rPr>
        <w:t>。</w:t>
      </w:r>
    </w:p>
    <w:p w14:paraId="74E5C166">
      <w:pPr>
        <w:pStyle w:val="3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outlineLvl w:val="1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4.环境管理  运行期做好环境保护措施的维护和运行管理，加强巡查和检查，保障发挥环境保护作用；制定环保管理规章制度，建立电磁辐射安全管理档案；针对可能发生的突发环境事件，应制定突发环境事件应急预案，并定期演练</w:t>
      </w:r>
      <w:r>
        <w:rPr>
          <w:rFonts w:hint="eastAsia" w:eastAsia="方正仿宋_GBK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  <w:t>。</w:t>
      </w:r>
    </w:p>
    <w:p w14:paraId="1E52F6B7">
      <w:pPr>
        <w:pStyle w:val="3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outlineLvl w:val="1"/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</w:t>
      </w: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相关要求</w:t>
      </w:r>
    </w:p>
    <w:p w14:paraId="677A08AD">
      <w:pPr>
        <w:pStyle w:val="3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outlineLvl w:val="1"/>
        <w:rPr>
          <w:rFonts w:hint="default" w:ascii="Times New Roman" w:hAnsi="Times New Roman" w:eastAsia="方正仿宋_GBK" w:cs="Times New Roman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项目要严格执行环境保护</w:t>
      </w:r>
      <w:r>
        <w:rPr>
          <w:rFonts w:hint="eastAsia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“</w:t>
      </w:r>
      <w:r>
        <w:rPr>
          <w:rFonts w:hint="default" w:ascii="Times New Roman" w:hAnsi="Times New Roman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三同时</w:t>
      </w:r>
      <w:r>
        <w:rPr>
          <w:rFonts w:hint="eastAsia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”</w:t>
      </w:r>
      <w:r>
        <w:rPr>
          <w:rFonts w:hint="default" w:ascii="Times New Roman" w:hAnsi="Times New Roman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制度和《报告表》中提出的各项环保措施，认真落实生态环境保护主体责任，建立内部生态环境管理体系，明确机构、人员职责和制度，加强生态环境管理，推动各项生态环境保护措施落实。本项目的日常环境监督管理由喀什地区生态环境局</w:t>
      </w:r>
      <w:r>
        <w:rPr>
          <w:rFonts w:hint="eastAsia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麦盖提</w:t>
      </w:r>
      <w:r>
        <w:rPr>
          <w:rFonts w:hint="default" w:ascii="Times New Roman" w:hAnsi="Times New Roman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县分局负责，地区生态环境保护综合行政执法支队不定期进行抽查。项目建设完工后，由建设单位对项目进行竣工环保验收，验收合格后方可正式投入运行。如项目的性质、规模、地点、采用的工艺、防治污染、防止生态破坏的措施发生重大变动，须报我局重新审批</w:t>
      </w:r>
      <w:r>
        <w:rPr>
          <w:rFonts w:hint="eastAsia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。</w:t>
      </w:r>
      <w:r>
        <w:rPr>
          <w:rFonts w:hint="default" w:ascii="Times New Roman" w:hAnsi="Times New Roman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 xml:space="preserve">  </w:t>
      </w:r>
    </w:p>
    <w:p w14:paraId="1760CDB3">
      <w:pPr>
        <w:pStyle w:val="3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outlineLvl w:val="1"/>
        <w:rPr>
          <w:rFonts w:hint="default" w:ascii="Times New Roman" w:hAnsi="Times New Roman" w:eastAsia="方正仿宋_GBK" w:cs="Times New Roman"/>
          <w:color w:val="000000"/>
          <w:kern w:val="2"/>
          <w:sz w:val="32"/>
          <w:szCs w:val="32"/>
          <w:lang w:val="en-US" w:eastAsia="zh-CN" w:bidi="ar-SA"/>
        </w:rPr>
      </w:pPr>
    </w:p>
    <w:p w14:paraId="46645404">
      <w:pPr>
        <w:pStyle w:val="3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outlineLvl w:val="1"/>
        <w:rPr>
          <w:rFonts w:hint="default" w:ascii="Times New Roman" w:hAnsi="Times New Roman" w:eastAsia="方正仿宋_GBK" w:cs="Times New Roman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 xml:space="preserve">                 </w:t>
      </w:r>
    </w:p>
    <w:p w14:paraId="39A4F071">
      <w:pPr>
        <w:pStyle w:val="3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4480" w:firstLineChars="1400"/>
        <w:jc w:val="both"/>
        <w:textAlignment w:val="auto"/>
        <w:outlineLvl w:val="1"/>
        <w:rPr>
          <w:rFonts w:hint="default" w:ascii="Times New Roman" w:hAnsi="Times New Roman" w:eastAsia="方正仿宋_GBK" w:cs="Times New Roman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 xml:space="preserve">喀什地区生态环境局 </w:t>
      </w:r>
    </w:p>
    <w:p w14:paraId="76E5BC96">
      <w:pPr>
        <w:pStyle w:val="3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outlineLvl w:val="1"/>
        <w:rPr>
          <w:rFonts w:hint="default" w:ascii="Times New Roman" w:hAnsi="Times New Roman" w:eastAsia="方正仿宋_GBK" w:cs="Times New Roman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 xml:space="preserve">                          2025年</w:t>
      </w:r>
      <w:r>
        <w:rPr>
          <w:rFonts w:hint="eastAsia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7</w:t>
      </w:r>
      <w:r>
        <w:rPr>
          <w:rFonts w:hint="default" w:ascii="Times New Roman" w:hAnsi="Times New Roman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月</w:t>
      </w:r>
      <w:r>
        <w:rPr>
          <w:rFonts w:hint="eastAsia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25</w:t>
      </w:r>
      <w:r>
        <w:rPr>
          <w:rFonts w:hint="default" w:ascii="Times New Roman" w:hAnsi="Times New Roman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日</w:t>
      </w:r>
    </w:p>
    <w:p w14:paraId="1C6AB218">
      <w:pPr>
        <w:pStyle w:val="3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jc w:val="both"/>
        <w:textAlignment w:val="auto"/>
        <w:outlineLvl w:val="1"/>
        <w:rPr>
          <w:rFonts w:hint="default" w:ascii="Times New Roman" w:hAnsi="Times New Roman" w:eastAsia="方正仿宋_GBK" w:cs="Times New Roman"/>
          <w:color w:val="000000"/>
          <w:kern w:val="2"/>
          <w:sz w:val="32"/>
          <w:szCs w:val="32"/>
          <w:lang w:val="en-US" w:eastAsia="zh-CN" w:bidi="ar-SA"/>
        </w:rPr>
      </w:pPr>
    </w:p>
    <w:p w14:paraId="76455259">
      <w:pPr>
        <w:pStyle w:val="3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jc w:val="both"/>
        <w:textAlignment w:val="auto"/>
        <w:outlineLvl w:val="1"/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</w:pPr>
    </w:p>
    <w:p w14:paraId="3F73D633">
      <w:pPr>
        <w:pStyle w:val="3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jc w:val="both"/>
        <w:textAlignment w:val="auto"/>
        <w:outlineLvl w:val="1"/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</w:pPr>
    </w:p>
    <w:p w14:paraId="45146309">
      <w:pPr>
        <w:pStyle w:val="3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jc w:val="both"/>
        <w:textAlignment w:val="auto"/>
        <w:outlineLvl w:val="1"/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</w:pPr>
    </w:p>
    <w:p w14:paraId="0151A4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textAlignment w:val="auto"/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</w:pPr>
    </w:p>
    <w:p w14:paraId="08D2E5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left="900" w:hanging="900" w:hangingChars="300"/>
        <w:textAlignment w:val="auto"/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</w:pPr>
    </w:p>
    <w:p w14:paraId="672775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left="900" w:hanging="900" w:hangingChars="300"/>
        <w:textAlignment w:val="auto"/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</w:pPr>
    </w:p>
    <w:p w14:paraId="453CD2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textAlignment w:val="auto"/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</w:pPr>
    </w:p>
    <w:p w14:paraId="566E73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left="900" w:hanging="900" w:hangingChars="300"/>
        <w:textAlignment w:val="auto"/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</w:pPr>
    </w:p>
    <w:p w14:paraId="6B8414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left="900" w:hanging="900" w:hangingChars="300"/>
        <w:textAlignment w:val="auto"/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</w:pPr>
    </w:p>
    <w:p w14:paraId="23A9D1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left="900" w:hanging="900" w:hangingChars="300"/>
        <w:textAlignment w:val="auto"/>
        <w:rPr>
          <w:rFonts w:hint="eastAsia"/>
          <w:lang w:val="en-US" w:eastAsia="zh-CN"/>
        </w:rPr>
      </w:pPr>
      <w:bookmarkStart w:id="0" w:name="_GoBack"/>
      <w:bookmarkEnd w:id="0"/>
      <w:r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  <w:t>抄送：喀什地区生态环境局</w:t>
      </w:r>
      <w:r>
        <w:rPr>
          <w:rFonts w:hint="eastAsia" w:eastAsia="方正仿宋_GBK" w:cs="Times New Roman"/>
          <w:color w:val="000000"/>
          <w:sz w:val="30"/>
          <w:szCs w:val="30"/>
          <w:lang w:val="en-US" w:eastAsia="zh-CN"/>
        </w:rPr>
        <w:t>麦盖提县</w:t>
      </w:r>
      <w:r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  <w:t>分局、喀什地区生态环境保护</w:t>
      </w:r>
      <w:r>
        <w:rPr>
          <w:rFonts w:hint="eastAsia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  <w:t>综</w:t>
      </w:r>
      <w:r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  <w:t>合行政执法支队、各科室，新疆博轩环境工程有限公司</w:t>
      </w:r>
    </w:p>
    <w:sectPr>
      <w:footerReference r:id="rId3" w:type="default"/>
      <w:pgSz w:w="11906" w:h="16838"/>
      <w:pgMar w:top="1984" w:right="1531" w:bottom="1701" w:left="1531" w:header="851" w:footer="1587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67E751">
    <w:pPr>
      <w:pStyle w:val="1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5D22058">
                          <w:pPr>
                            <w:pStyle w:val="13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5D22058">
                    <w:pPr>
                      <w:pStyle w:val="13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RmZTcxMDJlMjNiYzUzZjIxZmMyZWFmZDA0NTgyN2EifQ=="/>
  </w:docVars>
  <w:rsids>
    <w:rsidRoot w:val="788A426A"/>
    <w:rsid w:val="004D11D2"/>
    <w:rsid w:val="011A6B6F"/>
    <w:rsid w:val="0251325C"/>
    <w:rsid w:val="030B2C61"/>
    <w:rsid w:val="03626762"/>
    <w:rsid w:val="03AA2C1B"/>
    <w:rsid w:val="045072B4"/>
    <w:rsid w:val="04B87FD6"/>
    <w:rsid w:val="051D11C1"/>
    <w:rsid w:val="05212DC0"/>
    <w:rsid w:val="05724C01"/>
    <w:rsid w:val="06701759"/>
    <w:rsid w:val="07A45D35"/>
    <w:rsid w:val="07B04DCC"/>
    <w:rsid w:val="07B51F25"/>
    <w:rsid w:val="08101C13"/>
    <w:rsid w:val="09212CBD"/>
    <w:rsid w:val="096B3624"/>
    <w:rsid w:val="0B223C97"/>
    <w:rsid w:val="0BD4384D"/>
    <w:rsid w:val="0CCC758B"/>
    <w:rsid w:val="0D54519F"/>
    <w:rsid w:val="0D760CA6"/>
    <w:rsid w:val="0EAB30B9"/>
    <w:rsid w:val="104C050E"/>
    <w:rsid w:val="10CA6C1D"/>
    <w:rsid w:val="123B0E77"/>
    <w:rsid w:val="123D6FF8"/>
    <w:rsid w:val="126A3A49"/>
    <w:rsid w:val="165E7E7E"/>
    <w:rsid w:val="185126F4"/>
    <w:rsid w:val="19142800"/>
    <w:rsid w:val="19B11D09"/>
    <w:rsid w:val="1A432B38"/>
    <w:rsid w:val="1A646B16"/>
    <w:rsid w:val="1A6D203A"/>
    <w:rsid w:val="1A7D0D11"/>
    <w:rsid w:val="1A912D06"/>
    <w:rsid w:val="1AD65A0B"/>
    <w:rsid w:val="1B2B737F"/>
    <w:rsid w:val="1C315FB2"/>
    <w:rsid w:val="1CB8703E"/>
    <w:rsid w:val="1DA240EE"/>
    <w:rsid w:val="1F5374D5"/>
    <w:rsid w:val="1F5A5481"/>
    <w:rsid w:val="1F820704"/>
    <w:rsid w:val="21F459FD"/>
    <w:rsid w:val="21FC1373"/>
    <w:rsid w:val="2305200E"/>
    <w:rsid w:val="23EF0E2D"/>
    <w:rsid w:val="24DD2B2E"/>
    <w:rsid w:val="24E17235"/>
    <w:rsid w:val="26884F62"/>
    <w:rsid w:val="27085BA0"/>
    <w:rsid w:val="274E0181"/>
    <w:rsid w:val="281B306F"/>
    <w:rsid w:val="282E41E9"/>
    <w:rsid w:val="286779C6"/>
    <w:rsid w:val="28F62212"/>
    <w:rsid w:val="28FF1956"/>
    <w:rsid w:val="290057D3"/>
    <w:rsid w:val="2908687A"/>
    <w:rsid w:val="29E45DDB"/>
    <w:rsid w:val="2A474402"/>
    <w:rsid w:val="2A6D4A94"/>
    <w:rsid w:val="2A816818"/>
    <w:rsid w:val="2C6274FB"/>
    <w:rsid w:val="2C637B82"/>
    <w:rsid w:val="2D5D3B24"/>
    <w:rsid w:val="2D60110A"/>
    <w:rsid w:val="2DFA35CE"/>
    <w:rsid w:val="2ED51F80"/>
    <w:rsid w:val="2F0D52C2"/>
    <w:rsid w:val="2FED73D4"/>
    <w:rsid w:val="30AD781D"/>
    <w:rsid w:val="32E91E8F"/>
    <w:rsid w:val="33802506"/>
    <w:rsid w:val="346C4B8C"/>
    <w:rsid w:val="34B17012"/>
    <w:rsid w:val="34C06933"/>
    <w:rsid w:val="35822F31"/>
    <w:rsid w:val="35E00E2A"/>
    <w:rsid w:val="35EC7431"/>
    <w:rsid w:val="37510AF0"/>
    <w:rsid w:val="38380671"/>
    <w:rsid w:val="393F1C2C"/>
    <w:rsid w:val="39F13635"/>
    <w:rsid w:val="3A082619"/>
    <w:rsid w:val="3B045ACE"/>
    <w:rsid w:val="3B757168"/>
    <w:rsid w:val="3B8D70A1"/>
    <w:rsid w:val="3BE62435"/>
    <w:rsid w:val="3C957352"/>
    <w:rsid w:val="3D3E6FC5"/>
    <w:rsid w:val="3FF719AB"/>
    <w:rsid w:val="407A1DD5"/>
    <w:rsid w:val="40EB4D37"/>
    <w:rsid w:val="42974BBA"/>
    <w:rsid w:val="431C15BF"/>
    <w:rsid w:val="456E4687"/>
    <w:rsid w:val="46512B79"/>
    <w:rsid w:val="473B0337"/>
    <w:rsid w:val="475335C5"/>
    <w:rsid w:val="49BF0F7F"/>
    <w:rsid w:val="49C70C5D"/>
    <w:rsid w:val="49CF35E9"/>
    <w:rsid w:val="4A31724D"/>
    <w:rsid w:val="4A727302"/>
    <w:rsid w:val="4ABF6754"/>
    <w:rsid w:val="4B230A88"/>
    <w:rsid w:val="4CF951C2"/>
    <w:rsid w:val="4DD61B33"/>
    <w:rsid w:val="4E71561F"/>
    <w:rsid w:val="4F8A0DFE"/>
    <w:rsid w:val="50205709"/>
    <w:rsid w:val="50A3194E"/>
    <w:rsid w:val="50D33D2B"/>
    <w:rsid w:val="513B158C"/>
    <w:rsid w:val="514B679B"/>
    <w:rsid w:val="517348DA"/>
    <w:rsid w:val="51EE3D13"/>
    <w:rsid w:val="534C7637"/>
    <w:rsid w:val="54AB52DB"/>
    <w:rsid w:val="552B2E01"/>
    <w:rsid w:val="55584E1F"/>
    <w:rsid w:val="557572F3"/>
    <w:rsid w:val="55E46950"/>
    <w:rsid w:val="55E74A1E"/>
    <w:rsid w:val="564F3A2E"/>
    <w:rsid w:val="57B4309E"/>
    <w:rsid w:val="58D24D47"/>
    <w:rsid w:val="592163C9"/>
    <w:rsid w:val="5B4C7C0D"/>
    <w:rsid w:val="5B866C8A"/>
    <w:rsid w:val="5D5160C7"/>
    <w:rsid w:val="5D5A2A10"/>
    <w:rsid w:val="5D720983"/>
    <w:rsid w:val="60BA12AD"/>
    <w:rsid w:val="62525FBC"/>
    <w:rsid w:val="62620EA5"/>
    <w:rsid w:val="629476D9"/>
    <w:rsid w:val="62AA4E41"/>
    <w:rsid w:val="62DB244E"/>
    <w:rsid w:val="63060AAD"/>
    <w:rsid w:val="64462F9C"/>
    <w:rsid w:val="644F6990"/>
    <w:rsid w:val="646A7112"/>
    <w:rsid w:val="646E1C16"/>
    <w:rsid w:val="649E7927"/>
    <w:rsid w:val="64B02553"/>
    <w:rsid w:val="64D10D9B"/>
    <w:rsid w:val="64E13792"/>
    <w:rsid w:val="65366AA1"/>
    <w:rsid w:val="662A4C6A"/>
    <w:rsid w:val="67013EF5"/>
    <w:rsid w:val="678760B6"/>
    <w:rsid w:val="68913738"/>
    <w:rsid w:val="6A030616"/>
    <w:rsid w:val="6A824205"/>
    <w:rsid w:val="6B97619D"/>
    <w:rsid w:val="6C103426"/>
    <w:rsid w:val="6C1B21F5"/>
    <w:rsid w:val="6FA17FB1"/>
    <w:rsid w:val="714A6959"/>
    <w:rsid w:val="716C7649"/>
    <w:rsid w:val="717D6D9E"/>
    <w:rsid w:val="72702BD6"/>
    <w:rsid w:val="72B41673"/>
    <w:rsid w:val="72BE1760"/>
    <w:rsid w:val="74CC16B0"/>
    <w:rsid w:val="752758D5"/>
    <w:rsid w:val="75670F80"/>
    <w:rsid w:val="75901194"/>
    <w:rsid w:val="75D75850"/>
    <w:rsid w:val="75FD2019"/>
    <w:rsid w:val="775F3346"/>
    <w:rsid w:val="78353199"/>
    <w:rsid w:val="78805DC6"/>
    <w:rsid w:val="788A426A"/>
    <w:rsid w:val="7925792C"/>
    <w:rsid w:val="79493301"/>
    <w:rsid w:val="79B24C01"/>
    <w:rsid w:val="7A2465E9"/>
    <w:rsid w:val="7C5559F3"/>
    <w:rsid w:val="7CAB1CF4"/>
    <w:rsid w:val="7CF368A6"/>
    <w:rsid w:val="7D6974ED"/>
    <w:rsid w:val="7DC36AA0"/>
    <w:rsid w:val="7ECD6B6A"/>
    <w:rsid w:val="7F046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28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tabs>
        <w:tab w:val="left" w:pos="525"/>
      </w:tabs>
      <w:ind w:firstLine="0" w:firstLineChars="0"/>
      <w:outlineLvl w:val="1"/>
    </w:pPr>
    <w:rPr>
      <w:b/>
      <w:sz w:val="28"/>
    </w:rPr>
  </w:style>
  <w:style w:type="paragraph" w:styleId="5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rFonts w:ascii="Verdana" w:hAnsi="Verdana" w:cs="Verdana"/>
      <w:b/>
      <w:bCs/>
      <w:sz w:val="32"/>
      <w:szCs w:val="32"/>
    </w:rPr>
  </w:style>
  <w:style w:type="paragraph" w:styleId="6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22">
    <w:name w:val="Default Paragraph Font"/>
    <w:semiHidden/>
    <w:qFormat/>
    <w:uiPriority w:val="0"/>
  </w:style>
  <w:style w:type="table" w:default="1" w:styleId="2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四级标题"/>
    <w:basedOn w:val="3"/>
    <w:qFormat/>
    <w:uiPriority w:val="0"/>
    <w:pPr>
      <w:spacing w:line="360" w:lineRule="auto"/>
    </w:pPr>
    <w:rPr>
      <w:rFonts w:eastAsia="黑体"/>
    </w:rPr>
  </w:style>
  <w:style w:type="paragraph" w:styleId="3">
    <w:name w:val="Date"/>
    <w:basedOn w:val="1"/>
    <w:next w:val="1"/>
    <w:uiPriority w:val="0"/>
    <w:pPr>
      <w:ind w:left="100" w:leftChars="2500"/>
    </w:pPr>
    <w:rPr>
      <w:kern w:val="0"/>
      <w:sz w:val="20"/>
    </w:rPr>
  </w:style>
  <w:style w:type="paragraph" w:styleId="7">
    <w:name w:val="Normal Indent"/>
    <w:basedOn w:val="1"/>
    <w:next w:val="1"/>
    <w:qFormat/>
    <w:uiPriority w:val="0"/>
    <w:pPr>
      <w:spacing w:line="520" w:lineRule="exact"/>
      <w:ind w:firstLine="624"/>
    </w:pPr>
    <w:rPr>
      <w:rFonts w:eastAsia="宋体"/>
    </w:rPr>
  </w:style>
  <w:style w:type="paragraph" w:styleId="8">
    <w:name w:val="Body Text"/>
    <w:basedOn w:val="1"/>
    <w:next w:val="9"/>
    <w:unhideWhenUsed/>
    <w:qFormat/>
    <w:uiPriority w:val="99"/>
    <w:pPr>
      <w:spacing w:after="120"/>
    </w:pPr>
  </w:style>
  <w:style w:type="paragraph" w:styleId="9">
    <w:name w:val="Body Text 2"/>
    <w:basedOn w:val="1"/>
    <w:qFormat/>
    <w:uiPriority w:val="0"/>
    <w:pPr>
      <w:spacing w:after="120" w:line="480" w:lineRule="auto"/>
    </w:pPr>
  </w:style>
  <w:style w:type="paragraph" w:styleId="10">
    <w:name w:val="Body Text Indent"/>
    <w:basedOn w:val="1"/>
    <w:next w:val="8"/>
    <w:qFormat/>
    <w:uiPriority w:val="0"/>
    <w:pPr>
      <w:spacing w:after="120"/>
      <w:ind w:left="420" w:leftChars="200"/>
    </w:pPr>
  </w:style>
  <w:style w:type="paragraph" w:styleId="11">
    <w:name w:val="Plain Text"/>
    <w:basedOn w:val="1"/>
    <w:qFormat/>
    <w:uiPriority w:val="0"/>
    <w:rPr>
      <w:rFonts w:ascii="宋体" w:hAnsi="Courier New"/>
    </w:rPr>
  </w:style>
  <w:style w:type="paragraph" w:styleId="12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1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next w:val="15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15">
    <w:name w:val="样式5"/>
    <w:basedOn w:val="16"/>
    <w:qFormat/>
    <w:uiPriority w:val="0"/>
    <w:pPr>
      <w:jc w:val="center"/>
    </w:pPr>
    <w:rPr>
      <w:b/>
      <w:bCs/>
      <w:kern w:val="0"/>
      <w:sz w:val="20"/>
      <w:szCs w:val="20"/>
    </w:rPr>
  </w:style>
  <w:style w:type="paragraph" w:customStyle="1" w:styleId="16">
    <w:name w:val="正文1"/>
    <w:basedOn w:val="7"/>
    <w:next w:val="1"/>
    <w:qFormat/>
    <w:uiPriority w:val="0"/>
    <w:pPr>
      <w:widowControl w:val="0"/>
      <w:adjustRightInd w:val="0"/>
      <w:jc w:val="both"/>
    </w:pPr>
    <w:rPr>
      <w:rFonts w:ascii="Times New Roman" w:hAnsi="Times New Roman" w:eastAsia="楷体_GB2312" w:cs="Times New Roman"/>
      <w:kern w:val="2"/>
      <w:szCs w:val="20"/>
    </w:rPr>
  </w:style>
  <w:style w:type="paragraph" w:styleId="17">
    <w:name w:val="index heading"/>
    <w:basedOn w:val="1"/>
    <w:next w:val="18"/>
    <w:qFormat/>
    <w:uiPriority w:val="0"/>
    <w:rPr>
      <w:szCs w:val="20"/>
    </w:rPr>
  </w:style>
  <w:style w:type="paragraph" w:styleId="18">
    <w:name w:val="index 1"/>
    <w:basedOn w:val="1"/>
    <w:next w:val="1"/>
    <w:semiHidden/>
    <w:qFormat/>
    <w:uiPriority w:val="0"/>
    <w:pPr>
      <w:adjustRightInd w:val="0"/>
      <w:snapToGrid w:val="0"/>
      <w:spacing w:line="440" w:lineRule="atLeast"/>
      <w:ind w:left="240" w:hanging="240"/>
      <w:jc w:val="left"/>
    </w:pPr>
    <w:rPr>
      <w:rFonts w:ascii="宋体"/>
      <w:sz w:val="18"/>
      <w:szCs w:val="18"/>
    </w:rPr>
  </w:style>
  <w:style w:type="paragraph" w:styleId="1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20">
    <w:name w:val="Body Text First Indent 2"/>
    <w:basedOn w:val="10"/>
    <w:next w:val="8"/>
    <w:unhideWhenUsed/>
    <w:qFormat/>
    <w:uiPriority w:val="0"/>
    <w:pPr>
      <w:ind w:firstLine="420" w:firstLineChars="200"/>
    </w:pPr>
    <w:rPr>
      <w:rFonts w:eastAsia="宋体"/>
      <w:sz w:val="21"/>
      <w:szCs w:val="24"/>
    </w:rPr>
  </w:style>
  <w:style w:type="character" w:styleId="23">
    <w:name w:val="page number"/>
    <w:basedOn w:val="22"/>
    <w:qFormat/>
    <w:uiPriority w:val="0"/>
  </w:style>
  <w:style w:type="paragraph" w:customStyle="1" w:styleId="24">
    <w:name w:val="Default"/>
    <w:basedOn w:val="25"/>
    <w:next w:val="1"/>
    <w:qFormat/>
    <w:uiPriority w:val="99"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sz w:val="24"/>
      <w:szCs w:val="24"/>
      <w:lang w:val="en-US" w:eastAsia="zh-CN" w:bidi="ar-SA"/>
    </w:rPr>
  </w:style>
  <w:style w:type="paragraph" w:customStyle="1" w:styleId="25">
    <w:name w:val="1 表头"/>
    <w:basedOn w:val="1"/>
    <w:qFormat/>
    <w:uiPriority w:val="0"/>
    <w:pPr>
      <w:adjustRightInd w:val="0"/>
      <w:snapToGrid w:val="0"/>
      <w:jc w:val="center"/>
    </w:pPr>
    <w:rPr>
      <w:b/>
      <w:color w:val="000000"/>
      <w:szCs w:val="21"/>
    </w:rPr>
  </w:style>
  <w:style w:type="paragraph" w:customStyle="1" w:styleId="26">
    <w:name w:val="正文(首行缩进)"/>
    <w:basedOn w:val="1"/>
    <w:next w:val="1"/>
    <w:qFormat/>
    <w:uiPriority w:val="0"/>
    <w:pPr>
      <w:spacing w:line="360" w:lineRule="auto"/>
      <w:ind w:firstLine="225" w:firstLineChars="225"/>
    </w:pPr>
    <w:rPr>
      <w:rFonts w:eastAsia="宋体"/>
      <w:snapToGrid w:val="0"/>
      <w:color w:val="000000"/>
      <w:kern w:val="0"/>
      <w:sz w:val="24"/>
      <w:szCs w:val="24"/>
    </w:rPr>
  </w:style>
  <w:style w:type="paragraph" w:customStyle="1" w:styleId="27">
    <w:name w:val="纯文本1"/>
    <w:basedOn w:val="1"/>
    <w:qFormat/>
    <w:uiPriority w:val="0"/>
    <w:pPr>
      <w:adjustRightInd w:val="0"/>
    </w:pPr>
    <w:rPr>
      <w:rFonts w:ascii="宋体" w:hAnsi="Courier New"/>
      <w:szCs w:val="20"/>
    </w:rPr>
  </w:style>
  <w:style w:type="paragraph" w:customStyle="1" w:styleId="28">
    <w:name w:val="样式1"/>
    <w:basedOn w:val="17"/>
    <w:next w:val="1"/>
    <w:qFormat/>
    <w:uiPriority w:val="0"/>
    <w:pPr>
      <w:ind w:firstLine="0"/>
    </w:pPr>
    <w:rPr>
      <w:rFonts w:ascii="Times New Roman"/>
      <w:b/>
      <w:sz w:val="30"/>
      <w:szCs w:val="30"/>
    </w:rPr>
  </w:style>
  <w:style w:type="paragraph" w:styleId="29">
    <w:name w:val="No Spacing"/>
    <w:qFormat/>
    <w:uiPriority w:val="99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customStyle="1" w:styleId="30">
    <w:name w:val="表格内"/>
    <w:basedOn w:val="1"/>
    <w:qFormat/>
    <w:uiPriority w:val="0"/>
    <w:pPr>
      <w:spacing w:line="360" w:lineRule="exact"/>
      <w:jc w:val="center"/>
    </w:pPr>
    <w:rPr>
      <w:rFonts w:ascii="Times New Roman" w:hAnsi="Times New Roman" w:cs="Times New Roman"/>
      <w:snapToGrid w:val="0"/>
      <w:szCs w:val="21"/>
    </w:rPr>
  </w:style>
  <w:style w:type="paragraph" w:customStyle="1" w:styleId="31">
    <w:name w:val="列出段落1"/>
    <w:basedOn w:val="1"/>
    <w:qFormat/>
    <w:uiPriority w:val="0"/>
    <w:pPr>
      <w:autoSpaceDE/>
      <w:autoSpaceDN/>
      <w:ind w:firstLine="420" w:firstLineChars="200"/>
      <w:jc w:val="both"/>
    </w:pPr>
    <w:rPr>
      <w:rFonts w:ascii="Times New Roman" w:hAnsi="Times New Roman" w:cs="Times New Roman"/>
      <w:kern w:val="2"/>
      <w:sz w:val="21"/>
      <w:szCs w:val="21"/>
      <w:lang w:val="en-US" w:bidi="ar-SA"/>
    </w:rPr>
  </w:style>
  <w:style w:type="paragraph" w:customStyle="1" w:styleId="32">
    <w:name w:val="正文 A"/>
    <w:qFormat/>
    <w:uiPriority w:val="0"/>
    <w:pPr>
      <w:widowControl w:val="0"/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</w:pPr>
    <w:rPr>
      <w:rFonts w:ascii="Times New Roman" w:hAnsi="Times New Roman" w:eastAsia="宋体" w:cs="Arial Unicode MS"/>
      <w:color w:val="000000"/>
      <w:kern w:val="2"/>
      <w:sz w:val="21"/>
      <w:szCs w:val="21"/>
      <w:u w:val="none" w:color="000000"/>
      <w:lang w:val="en-US" w:eastAsia="zh-CN" w:bidi="ar-SA"/>
    </w:rPr>
  </w:style>
  <w:style w:type="paragraph" w:customStyle="1" w:styleId="33">
    <w:name w:val="文本"/>
    <w:basedOn w:val="1"/>
    <w:qFormat/>
    <w:uiPriority w:val="0"/>
    <w:pPr>
      <w:adjustRightInd w:val="0"/>
      <w:snapToGrid w:val="0"/>
      <w:spacing w:line="360" w:lineRule="auto"/>
      <w:ind w:firstLine="480" w:firstLineChars="200"/>
      <w:jc w:val="left"/>
    </w:pPr>
    <w:rPr>
      <w:sz w:val="24"/>
      <w:szCs w:val="24"/>
    </w:rPr>
  </w:style>
  <w:style w:type="paragraph" w:customStyle="1" w:styleId="34">
    <w:name w:val="表-正文"/>
    <w:basedOn w:val="1"/>
    <w:qFormat/>
    <w:uiPriority w:val="0"/>
    <w:pPr>
      <w:widowControl/>
      <w:autoSpaceDE w:val="0"/>
      <w:autoSpaceDN w:val="0"/>
      <w:spacing w:line="360" w:lineRule="auto"/>
      <w:ind w:firstLine="200" w:firstLineChars="200"/>
    </w:pPr>
    <w:rPr>
      <w:rFonts w:cs="宋体"/>
      <w:color w:val="000000" w:themeColor="text1"/>
      <w:kern w:val="0"/>
      <w:sz w:val="24"/>
      <w:szCs w:val="22"/>
      <w14:textFill>
        <w14:solidFill>
          <w14:schemeClr w14:val="tx1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1826</Words>
  <Characters>2036</Characters>
  <Lines>0</Lines>
  <Paragraphs>0</Paragraphs>
  <TotalTime>23</TotalTime>
  <ScaleCrop>false</ScaleCrop>
  <LinksUpToDate>false</LinksUpToDate>
  <CharactersWithSpaces>2087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2023-04-04T04:53:00Z</dcterms:created>
  <dc:creator>NTKO</dc:creator>
  <cp:lastModifiedBy>WPS_1643423142</cp:lastModifiedBy>
  <cp:lastPrinted>2025-07-28T11:29:00Z</cp:lastPrinted>
  <dcterms:modified xsi:type="dcterms:W3CDTF">2025-07-29T02:25:04Z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A9C5B00A462647F7BAF9D3674640F465</vt:lpwstr>
  </property>
  <property fmtid="{D5CDD505-2E9C-101B-9397-08002B2CF9AE}" pid="4" name="KSOTemplateDocerSaveRecord">
    <vt:lpwstr>eyJoZGlkIjoiMjRmZTcxMDJlMjNiYzUzZjIxZmMyZWFmZDA0NTgyN2EiLCJ1c2VySWQiOiIxMzI2MzE1OTczIn0=</vt:lpwstr>
  </property>
</Properties>
</file>